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B9666" w14:textId="1BD331A8" w:rsidR="004D31C6" w:rsidRDefault="004D31C6" w:rsidP="002529C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Αγγελοπούλου Ιφιγένεια &amp; Τσεντίδου Γλυκερία </w:t>
      </w:r>
    </w:p>
    <w:p w14:paraId="41CCED82" w14:textId="373650EE" w:rsidR="002529CC" w:rsidRDefault="002529CC" w:rsidP="002529CC">
      <w:pPr>
        <w:spacing w:line="240" w:lineRule="auto"/>
        <w:rPr>
          <w:rFonts w:ascii="Times New Roman" w:hAnsi="Times New Roman" w:cs="Times New Roman"/>
          <w:b/>
          <w:sz w:val="24"/>
          <w:szCs w:val="24"/>
        </w:rPr>
      </w:pPr>
      <w:r w:rsidRPr="002529CC">
        <w:rPr>
          <w:rFonts w:ascii="Times New Roman" w:hAnsi="Times New Roman" w:cs="Times New Roman"/>
          <w:b/>
          <w:sz w:val="24"/>
          <w:szCs w:val="24"/>
        </w:rPr>
        <w:t>Περίληψη</w:t>
      </w:r>
    </w:p>
    <w:p w14:paraId="6DC06140" w14:textId="77777777" w:rsidR="002529CC" w:rsidRDefault="002529CC" w:rsidP="002529CC">
      <w:pPr>
        <w:spacing w:line="240" w:lineRule="auto"/>
        <w:rPr>
          <w:rFonts w:ascii="Times New Roman" w:hAnsi="Times New Roman" w:cs="Times New Roman"/>
          <w:b/>
          <w:sz w:val="24"/>
          <w:szCs w:val="24"/>
        </w:rPr>
      </w:pPr>
      <w:r>
        <w:rPr>
          <w:rFonts w:ascii="Times New Roman" w:hAnsi="Times New Roman" w:cs="Times New Roman"/>
          <w:b/>
          <w:sz w:val="24"/>
          <w:szCs w:val="24"/>
        </w:rPr>
        <w:t>«Εργασιακή ικανοποίηση και ποιότητα ζωής Ιδιωτικός και</w:t>
      </w:r>
      <w:r w:rsidRPr="002529CC">
        <w:rPr>
          <w:rFonts w:ascii="Times New Roman" w:hAnsi="Times New Roman" w:cs="Times New Roman"/>
          <w:b/>
          <w:sz w:val="24"/>
          <w:szCs w:val="24"/>
        </w:rPr>
        <w:t xml:space="preserve"> </w:t>
      </w:r>
      <w:r>
        <w:rPr>
          <w:rFonts w:ascii="Times New Roman" w:hAnsi="Times New Roman" w:cs="Times New Roman"/>
          <w:b/>
          <w:sz w:val="24"/>
          <w:szCs w:val="24"/>
        </w:rPr>
        <w:t>Δημόσιος τομέας»</w:t>
      </w:r>
    </w:p>
    <w:p w14:paraId="7B501157" w14:textId="77777777" w:rsidR="00F34F21" w:rsidRPr="00F34F21" w:rsidRDefault="00F34F21" w:rsidP="00F34F21">
      <w:pPr>
        <w:spacing w:line="240" w:lineRule="auto"/>
        <w:rPr>
          <w:rFonts w:ascii="Times New Roman" w:hAnsi="Times New Roman" w:cs="Times New Roman"/>
          <w:sz w:val="24"/>
          <w:szCs w:val="24"/>
        </w:rPr>
      </w:pPr>
      <w:r w:rsidRPr="00F34F21">
        <w:rPr>
          <w:rFonts w:ascii="Times New Roman" w:hAnsi="Times New Roman" w:cs="Times New Roman"/>
          <w:sz w:val="24"/>
          <w:szCs w:val="24"/>
        </w:rPr>
        <w:t>Η εργασιακή ικανοποίηση αναφέρεται στον βαθμό θετικής αξιολόγησης που διαμορφώνει το άτομο για την εργασία του και επηρεάζεται από επιμέρους παράγοντες, όπως οι συνθήκες εργασίας, οι αποδοχές, οι διαπροσωπικές σχέσεις και οι δυνατότητες εξέλιξης (</w:t>
      </w:r>
      <w:proofErr w:type="spellStart"/>
      <w:r w:rsidRPr="00F34F21">
        <w:rPr>
          <w:rFonts w:ascii="Times New Roman" w:hAnsi="Times New Roman" w:cs="Times New Roman"/>
          <w:sz w:val="24"/>
          <w:szCs w:val="24"/>
        </w:rPr>
        <w:t>Spector</w:t>
      </w:r>
      <w:proofErr w:type="spellEnd"/>
      <w:r w:rsidRPr="00F34F21">
        <w:rPr>
          <w:rFonts w:ascii="Times New Roman" w:hAnsi="Times New Roman" w:cs="Times New Roman"/>
          <w:sz w:val="24"/>
          <w:szCs w:val="24"/>
        </w:rPr>
        <w:t xml:space="preserve">, 1997; </w:t>
      </w:r>
      <w:proofErr w:type="spellStart"/>
      <w:r w:rsidRPr="00F34F21">
        <w:rPr>
          <w:rFonts w:ascii="Times New Roman" w:hAnsi="Times New Roman" w:cs="Times New Roman"/>
          <w:sz w:val="24"/>
          <w:szCs w:val="24"/>
        </w:rPr>
        <w:t>Judge</w:t>
      </w:r>
      <w:proofErr w:type="spellEnd"/>
      <w:r w:rsidRPr="00F34F21">
        <w:rPr>
          <w:rFonts w:ascii="Times New Roman" w:hAnsi="Times New Roman" w:cs="Times New Roman"/>
          <w:sz w:val="24"/>
          <w:szCs w:val="24"/>
        </w:rPr>
        <w:t xml:space="preserve"> et al., 2017). Αντίστοιχα, η ποιότητα ζωής συνιστά μια πολυδιάστατη έννοια, η οποία περιλαμβάνει σωματικές, ψυχολογικές και κοινωνικές διαστάσεις της λειτουργικότητας και της υποκειμενικής ευημερίας του ατόμου (WHOQOL </w:t>
      </w:r>
      <w:proofErr w:type="spellStart"/>
      <w:r w:rsidRPr="00F34F21">
        <w:rPr>
          <w:rFonts w:ascii="Times New Roman" w:hAnsi="Times New Roman" w:cs="Times New Roman"/>
          <w:sz w:val="24"/>
          <w:szCs w:val="24"/>
        </w:rPr>
        <w:t>Group</w:t>
      </w:r>
      <w:proofErr w:type="spellEnd"/>
      <w:r w:rsidRPr="00F34F21">
        <w:rPr>
          <w:rFonts w:ascii="Times New Roman" w:hAnsi="Times New Roman" w:cs="Times New Roman"/>
          <w:sz w:val="24"/>
          <w:szCs w:val="24"/>
        </w:rPr>
        <w:t xml:space="preserve">, 1995; </w:t>
      </w:r>
      <w:proofErr w:type="spellStart"/>
      <w:r w:rsidRPr="00F34F21">
        <w:rPr>
          <w:rFonts w:ascii="Times New Roman" w:hAnsi="Times New Roman" w:cs="Times New Roman"/>
          <w:sz w:val="24"/>
          <w:szCs w:val="24"/>
        </w:rPr>
        <w:t>Veenhoven</w:t>
      </w:r>
      <w:proofErr w:type="spellEnd"/>
      <w:r w:rsidRPr="00F34F21">
        <w:rPr>
          <w:rFonts w:ascii="Times New Roman" w:hAnsi="Times New Roman" w:cs="Times New Roman"/>
          <w:sz w:val="24"/>
          <w:szCs w:val="24"/>
        </w:rPr>
        <w:t>, 2024). Η σύγχρονη αγορά εργασίας χαρακτηρίζεται από συνεχείς αλλαγές, αυξημένες απαιτήσεις και έντονους ρυθμούς, παράγοντες που επηρεάζουν ουσιαστικά την καθημερινότητα και την ψυχολογία των εργαζομένων (</w:t>
      </w:r>
      <w:proofErr w:type="spellStart"/>
      <w:r w:rsidRPr="00F34F21">
        <w:rPr>
          <w:rFonts w:ascii="Times New Roman" w:hAnsi="Times New Roman" w:cs="Times New Roman"/>
          <w:sz w:val="24"/>
          <w:szCs w:val="24"/>
        </w:rPr>
        <w:t>Judge</w:t>
      </w:r>
      <w:proofErr w:type="spellEnd"/>
      <w:r w:rsidRPr="00F34F21">
        <w:rPr>
          <w:rFonts w:ascii="Times New Roman" w:hAnsi="Times New Roman" w:cs="Times New Roman"/>
          <w:sz w:val="24"/>
          <w:szCs w:val="24"/>
        </w:rPr>
        <w:t xml:space="preserve"> et al., 2017). Παράλληλα, οι οικονομικές μεταρρυθμίσεις, η τεχνολογική ανάπτυξη και οι νέες μορφές απασχόλησης έχουν αναδιαμορφώσει σημαντικά το εργασιακό περιβάλλον, δημιουργώντας νέα δεδομένα για την επαγγελματική εμπειρία και την ευημερία των εργαζομένων (</w:t>
      </w:r>
      <w:proofErr w:type="spellStart"/>
      <w:r w:rsidRPr="00F34F21">
        <w:rPr>
          <w:rFonts w:ascii="Times New Roman" w:hAnsi="Times New Roman" w:cs="Times New Roman"/>
          <w:sz w:val="24"/>
          <w:szCs w:val="24"/>
        </w:rPr>
        <w:t>Judge</w:t>
      </w:r>
      <w:proofErr w:type="spellEnd"/>
      <w:r w:rsidRPr="00F34F21">
        <w:rPr>
          <w:rFonts w:ascii="Times New Roman" w:hAnsi="Times New Roman" w:cs="Times New Roman"/>
          <w:sz w:val="24"/>
          <w:szCs w:val="24"/>
        </w:rPr>
        <w:t xml:space="preserve"> et al., 2017). Στο πλαίσιο αυτό, η εργασιακή ικανοποίηση και η ποιότητα ζωής αποτελούν δύο κρίσιμες μεταβλητές, οι οποίες συνδέονται με την ψυχική υγεία, τη συνολική ευημερία και την εργασιακή απόδοση (</w:t>
      </w:r>
      <w:proofErr w:type="spellStart"/>
      <w:r w:rsidRPr="00F34F21">
        <w:rPr>
          <w:rFonts w:ascii="Times New Roman" w:hAnsi="Times New Roman" w:cs="Times New Roman"/>
          <w:sz w:val="24"/>
          <w:szCs w:val="24"/>
        </w:rPr>
        <w:t>Spector</w:t>
      </w:r>
      <w:proofErr w:type="spellEnd"/>
      <w:r w:rsidRPr="00F34F21">
        <w:rPr>
          <w:rFonts w:ascii="Times New Roman" w:hAnsi="Times New Roman" w:cs="Times New Roman"/>
          <w:sz w:val="24"/>
          <w:szCs w:val="24"/>
        </w:rPr>
        <w:t xml:space="preserve">, 1997; WHOQOL </w:t>
      </w:r>
      <w:proofErr w:type="spellStart"/>
      <w:r w:rsidRPr="00F34F21">
        <w:rPr>
          <w:rFonts w:ascii="Times New Roman" w:hAnsi="Times New Roman" w:cs="Times New Roman"/>
          <w:sz w:val="24"/>
          <w:szCs w:val="24"/>
        </w:rPr>
        <w:t>Group</w:t>
      </w:r>
      <w:proofErr w:type="spellEnd"/>
      <w:r w:rsidRPr="00F34F21">
        <w:rPr>
          <w:rFonts w:ascii="Times New Roman" w:hAnsi="Times New Roman" w:cs="Times New Roman"/>
          <w:sz w:val="24"/>
          <w:szCs w:val="24"/>
        </w:rPr>
        <w:t xml:space="preserve">, 1995; </w:t>
      </w:r>
      <w:proofErr w:type="spellStart"/>
      <w:r w:rsidRPr="00F34F21">
        <w:rPr>
          <w:rFonts w:ascii="Times New Roman" w:hAnsi="Times New Roman" w:cs="Times New Roman"/>
          <w:sz w:val="24"/>
          <w:szCs w:val="24"/>
        </w:rPr>
        <w:t>Veenhoven</w:t>
      </w:r>
      <w:proofErr w:type="spellEnd"/>
      <w:r w:rsidRPr="00F34F21">
        <w:rPr>
          <w:rFonts w:ascii="Times New Roman" w:hAnsi="Times New Roman" w:cs="Times New Roman"/>
          <w:sz w:val="24"/>
          <w:szCs w:val="24"/>
        </w:rPr>
        <w:t>, 2024).</w:t>
      </w:r>
    </w:p>
    <w:p w14:paraId="49B63EE6" w14:textId="77777777" w:rsidR="00F34F21" w:rsidRPr="00F34F21" w:rsidRDefault="00F34F21" w:rsidP="00F34F21">
      <w:pPr>
        <w:spacing w:line="240" w:lineRule="auto"/>
        <w:rPr>
          <w:rFonts w:ascii="Times New Roman" w:hAnsi="Times New Roman" w:cs="Times New Roman"/>
          <w:sz w:val="24"/>
          <w:szCs w:val="24"/>
        </w:rPr>
      </w:pPr>
      <w:r w:rsidRPr="00F34F21">
        <w:rPr>
          <w:rFonts w:ascii="Times New Roman" w:hAnsi="Times New Roman" w:cs="Times New Roman"/>
          <w:sz w:val="24"/>
          <w:szCs w:val="24"/>
        </w:rPr>
        <w:t xml:space="preserve">Η παρούσα μελέτη εξετάζει, μέσα από συσχετιστική προσέγγιση, τη σχέση μεταξύ εργασιακής ικανοποίησης και ποιότητας ζωής σε εργαζομένους του δημόσιου και του ιδιωτικού τομέα. Η έρευνα ακολουθεί ποσοτική, συσχετιστική ερευνητική προσέγγιση. Το δείγμα αποτελείται από 120 εργαζομένους ηλικίας 19–65 ετών, οι οποίοι εργάζονται στην Ελλάδα και διαθέτουν τουλάχιστον ένα έτος εργασιακής εμπειρίας. Για τη συλλογή των δεδομένων χρησιμοποιήθηκαν το </w:t>
      </w:r>
      <w:proofErr w:type="spellStart"/>
      <w:r w:rsidRPr="00F34F21">
        <w:rPr>
          <w:rFonts w:ascii="Times New Roman" w:hAnsi="Times New Roman" w:cs="Times New Roman"/>
          <w:b/>
          <w:bCs/>
          <w:sz w:val="24"/>
          <w:szCs w:val="24"/>
        </w:rPr>
        <w:t>Employee</w:t>
      </w:r>
      <w:proofErr w:type="spellEnd"/>
      <w:r w:rsidRPr="00F34F21">
        <w:rPr>
          <w:rFonts w:ascii="Times New Roman" w:hAnsi="Times New Roman" w:cs="Times New Roman"/>
          <w:b/>
          <w:bCs/>
          <w:sz w:val="24"/>
          <w:szCs w:val="24"/>
        </w:rPr>
        <w:t xml:space="preserve"> </w:t>
      </w:r>
      <w:proofErr w:type="spellStart"/>
      <w:r w:rsidRPr="00F34F21">
        <w:rPr>
          <w:rFonts w:ascii="Times New Roman" w:hAnsi="Times New Roman" w:cs="Times New Roman"/>
          <w:b/>
          <w:bCs/>
          <w:sz w:val="24"/>
          <w:szCs w:val="24"/>
        </w:rPr>
        <w:t>Satisfaction</w:t>
      </w:r>
      <w:proofErr w:type="spellEnd"/>
      <w:r w:rsidRPr="00F34F21">
        <w:rPr>
          <w:rFonts w:ascii="Times New Roman" w:hAnsi="Times New Roman" w:cs="Times New Roman"/>
          <w:b/>
          <w:bCs/>
          <w:sz w:val="24"/>
          <w:szCs w:val="24"/>
        </w:rPr>
        <w:t xml:space="preserve"> </w:t>
      </w:r>
      <w:proofErr w:type="spellStart"/>
      <w:r w:rsidRPr="00F34F21">
        <w:rPr>
          <w:rFonts w:ascii="Times New Roman" w:hAnsi="Times New Roman" w:cs="Times New Roman"/>
          <w:b/>
          <w:bCs/>
          <w:sz w:val="24"/>
          <w:szCs w:val="24"/>
        </w:rPr>
        <w:t>Inventory</w:t>
      </w:r>
      <w:proofErr w:type="spellEnd"/>
      <w:r w:rsidRPr="00F34F21">
        <w:rPr>
          <w:rFonts w:ascii="Times New Roman" w:hAnsi="Times New Roman" w:cs="Times New Roman"/>
          <w:b/>
          <w:bCs/>
          <w:sz w:val="24"/>
          <w:szCs w:val="24"/>
        </w:rPr>
        <w:t xml:space="preserve"> (ESI)</w:t>
      </w:r>
      <w:r w:rsidRPr="00F34F21">
        <w:rPr>
          <w:rFonts w:ascii="Times New Roman" w:hAnsi="Times New Roman" w:cs="Times New Roman"/>
          <w:sz w:val="24"/>
          <w:szCs w:val="24"/>
        </w:rPr>
        <w:t xml:space="preserve"> για την αποτίμηση της εργασιακής ικανοποίησης και το </w:t>
      </w:r>
      <w:r w:rsidRPr="00F34F21">
        <w:rPr>
          <w:rFonts w:ascii="Times New Roman" w:hAnsi="Times New Roman" w:cs="Times New Roman"/>
          <w:b/>
          <w:bCs/>
          <w:sz w:val="24"/>
          <w:szCs w:val="24"/>
        </w:rPr>
        <w:t xml:space="preserve">WHO-5 </w:t>
      </w:r>
      <w:proofErr w:type="spellStart"/>
      <w:r w:rsidRPr="00F34F21">
        <w:rPr>
          <w:rFonts w:ascii="Times New Roman" w:hAnsi="Times New Roman" w:cs="Times New Roman"/>
          <w:b/>
          <w:bCs/>
          <w:sz w:val="24"/>
          <w:szCs w:val="24"/>
        </w:rPr>
        <w:t>Well-Being</w:t>
      </w:r>
      <w:proofErr w:type="spellEnd"/>
      <w:r w:rsidRPr="00F34F21">
        <w:rPr>
          <w:rFonts w:ascii="Times New Roman" w:hAnsi="Times New Roman" w:cs="Times New Roman"/>
          <w:b/>
          <w:bCs/>
          <w:sz w:val="24"/>
          <w:szCs w:val="24"/>
        </w:rPr>
        <w:t xml:space="preserve"> </w:t>
      </w:r>
      <w:proofErr w:type="spellStart"/>
      <w:r w:rsidRPr="00F34F21">
        <w:rPr>
          <w:rFonts w:ascii="Times New Roman" w:hAnsi="Times New Roman" w:cs="Times New Roman"/>
          <w:b/>
          <w:bCs/>
          <w:sz w:val="24"/>
          <w:szCs w:val="24"/>
        </w:rPr>
        <w:t>Index</w:t>
      </w:r>
      <w:proofErr w:type="spellEnd"/>
      <w:r w:rsidRPr="00F34F21">
        <w:rPr>
          <w:rFonts w:ascii="Times New Roman" w:hAnsi="Times New Roman" w:cs="Times New Roman"/>
          <w:sz w:val="24"/>
          <w:szCs w:val="24"/>
        </w:rPr>
        <w:t xml:space="preserve"> για την εκτίμηση της ψυχολογικής ευεξίας/ποιότητας ζωής.</w:t>
      </w:r>
    </w:p>
    <w:p w14:paraId="16B1427E" w14:textId="1802BE5E" w:rsidR="00F34F21" w:rsidRPr="00F34F21" w:rsidRDefault="00F34F21" w:rsidP="00001DC1">
      <w:pPr>
        <w:spacing w:line="240" w:lineRule="auto"/>
        <w:rPr>
          <w:rFonts w:ascii="Times New Roman" w:hAnsi="Times New Roman" w:cs="Times New Roman"/>
          <w:sz w:val="24"/>
          <w:szCs w:val="24"/>
        </w:rPr>
      </w:pPr>
      <w:r w:rsidRPr="00F34F21">
        <w:rPr>
          <w:rFonts w:ascii="Times New Roman" w:hAnsi="Times New Roman" w:cs="Times New Roman"/>
          <w:sz w:val="24"/>
          <w:szCs w:val="24"/>
        </w:rPr>
        <w:t>Αναλυτικότερα, οι υποθέσεις της παρούσας μελέτης διαμορφώθηκαν ως εξής:</w:t>
      </w:r>
    </w:p>
    <w:p w14:paraId="29509BB0" w14:textId="77777777" w:rsidR="00F34F21" w:rsidRPr="00F34F21" w:rsidRDefault="00F34F21" w:rsidP="00F34F21">
      <w:pPr>
        <w:spacing w:line="240" w:lineRule="auto"/>
        <w:rPr>
          <w:rFonts w:ascii="Times New Roman" w:hAnsi="Times New Roman" w:cs="Times New Roman"/>
          <w:sz w:val="24"/>
          <w:szCs w:val="24"/>
        </w:rPr>
      </w:pPr>
      <w:r w:rsidRPr="00F34F21">
        <w:rPr>
          <w:rFonts w:ascii="Times New Roman" w:hAnsi="Times New Roman" w:cs="Times New Roman"/>
          <w:b/>
          <w:bCs/>
          <w:sz w:val="24"/>
          <w:szCs w:val="24"/>
        </w:rPr>
        <w:t>Η1:</w:t>
      </w:r>
      <w:r w:rsidRPr="00F34F21">
        <w:rPr>
          <w:rFonts w:ascii="Times New Roman" w:hAnsi="Times New Roman" w:cs="Times New Roman"/>
          <w:sz w:val="24"/>
          <w:szCs w:val="24"/>
        </w:rPr>
        <w:t xml:space="preserve"> Θα υπάρξει στατιστικά σημαντική θετική συσχέτιση μεταξύ συνολικής εργασιακής ικανοποίησης και ψυχολογικής ευημερίας/ποιότητας ζωής.</w:t>
      </w:r>
      <w:r w:rsidRPr="00F34F21">
        <w:rPr>
          <w:rFonts w:ascii="Times New Roman" w:hAnsi="Times New Roman" w:cs="Times New Roman"/>
          <w:sz w:val="24"/>
          <w:szCs w:val="24"/>
        </w:rPr>
        <w:br/>
      </w:r>
      <w:r w:rsidRPr="00F34F21">
        <w:rPr>
          <w:rFonts w:ascii="Times New Roman" w:hAnsi="Times New Roman" w:cs="Times New Roman"/>
          <w:b/>
          <w:bCs/>
          <w:sz w:val="24"/>
          <w:szCs w:val="24"/>
        </w:rPr>
        <w:t>Η2:</w:t>
      </w:r>
      <w:r w:rsidRPr="00F34F21">
        <w:rPr>
          <w:rFonts w:ascii="Times New Roman" w:hAnsi="Times New Roman" w:cs="Times New Roman"/>
          <w:sz w:val="24"/>
          <w:szCs w:val="24"/>
        </w:rPr>
        <w:t xml:space="preserve"> Θα προκύψουν στατιστικά σημαντικές διαφορές στην εργασιακή ικανοποίηση μεταξύ εργαζομένων του δημόσιου και του ιδιωτικού τομέα.</w:t>
      </w:r>
      <w:r w:rsidRPr="00F34F21">
        <w:rPr>
          <w:rFonts w:ascii="Times New Roman" w:hAnsi="Times New Roman" w:cs="Times New Roman"/>
          <w:sz w:val="24"/>
          <w:szCs w:val="24"/>
        </w:rPr>
        <w:br/>
      </w:r>
      <w:r w:rsidRPr="00F34F21">
        <w:rPr>
          <w:rFonts w:ascii="Times New Roman" w:hAnsi="Times New Roman" w:cs="Times New Roman"/>
          <w:b/>
          <w:bCs/>
          <w:sz w:val="24"/>
          <w:szCs w:val="24"/>
        </w:rPr>
        <w:t>Η3:</w:t>
      </w:r>
      <w:r w:rsidRPr="00F34F21">
        <w:rPr>
          <w:rFonts w:ascii="Times New Roman" w:hAnsi="Times New Roman" w:cs="Times New Roman"/>
          <w:sz w:val="24"/>
          <w:szCs w:val="24"/>
        </w:rPr>
        <w:t xml:space="preserve"> Θα προκύψουν στατιστικά σημαντικές διαφορές στην ψυχολογική ευημερία/ποιότητα ζωής μεταξύ εργαζομένων του δημόσιου και του ιδιωτικού τομέα.</w:t>
      </w:r>
      <w:r w:rsidRPr="00F34F21">
        <w:rPr>
          <w:rFonts w:ascii="Times New Roman" w:hAnsi="Times New Roman" w:cs="Times New Roman"/>
          <w:sz w:val="24"/>
          <w:szCs w:val="24"/>
        </w:rPr>
        <w:br/>
      </w:r>
      <w:r w:rsidRPr="00F34F21">
        <w:rPr>
          <w:rFonts w:ascii="Times New Roman" w:hAnsi="Times New Roman" w:cs="Times New Roman"/>
          <w:b/>
          <w:bCs/>
          <w:sz w:val="24"/>
          <w:szCs w:val="24"/>
        </w:rPr>
        <w:t>Η4:</w:t>
      </w:r>
      <w:r w:rsidRPr="00F34F21">
        <w:rPr>
          <w:rFonts w:ascii="Times New Roman" w:hAnsi="Times New Roman" w:cs="Times New Roman"/>
          <w:sz w:val="24"/>
          <w:szCs w:val="24"/>
        </w:rPr>
        <w:t xml:space="preserve"> Θα υπάρξει στατιστικά σημαντική θετική συσχέτιση μεταξύ εργασιακής ικανοποίησης και ποιότητας ζωής τόσο στον δημόσιο όσο και στον ιδιωτικό τομέα</w:t>
      </w:r>
    </w:p>
    <w:p w14:paraId="6CC1A777" w14:textId="5CF3CE37" w:rsidR="00663A93" w:rsidRPr="00663A93" w:rsidRDefault="00B57C7B" w:rsidP="00663A93">
      <w:pPr>
        <w:spacing w:line="240" w:lineRule="auto"/>
        <w:rPr>
          <w:rFonts w:ascii="Times New Roman" w:hAnsi="Times New Roman" w:cs="Times New Roman"/>
          <w:sz w:val="24"/>
          <w:szCs w:val="24"/>
        </w:rPr>
      </w:pPr>
      <w:r>
        <w:rPr>
          <w:rFonts w:ascii="Times New Roman" w:hAnsi="Times New Roman" w:cs="Times New Roman"/>
          <w:sz w:val="24"/>
          <w:szCs w:val="24"/>
        </w:rPr>
        <w:t>Τ</w:t>
      </w:r>
      <w:r w:rsidR="00663A93" w:rsidRPr="00663A93">
        <w:rPr>
          <w:rFonts w:ascii="Times New Roman" w:hAnsi="Times New Roman" w:cs="Times New Roman"/>
          <w:sz w:val="24"/>
          <w:szCs w:val="24"/>
        </w:rPr>
        <w:t xml:space="preserve">α ευρήματα είναι δυνατόν να ενισχύσουν την άποψη ότι η εργασιακή ικανοποίηση δεν αποτελεί μόνο </w:t>
      </w:r>
      <w:proofErr w:type="spellStart"/>
      <w:r w:rsidR="00663A93" w:rsidRPr="00663A93">
        <w:rPr>
          <w:rFonts w:ascii="Times New Roman" w:hAnsi="Times New Roman" w:cs="Times New Roman"/>
          <w:sz w:val="24"/>
          <w:szCs w:val="24"/>
        </w:rPr>
        <w:t>οργανωσιακή</w:t>
      </w:r>
      <w:proofErr w:type="spellEnd"/>
      <w:r w:rsidR="00663A93" w:rsidRPr="00663A93">
        <w:rPr>
          <w:rFonts w:ascii="Times New Roman" w:hAnsi="Times New Roman" w:cs="Times New Roman"/>
          <w:sz w:val="24"/>
          <w:szCs w:val="24"/>
        </w:rPr>
        <w:t xml:space="preserve"> μεταβλητή, αλλά και σημαντικό δείκτη ψυχικής υγείας και ευρύτερης ευημερίας.</w:t>
      </w:r>
      <w:r>
        <w:rPr>
          <w:rFonts w:ascii="Times New Roman" w:hAnsi="Times New Roman" w:cs="Times New Roman"/>
          <w:sz w:val="24"/>
          <w:szCs w:val="24"/>
        </w:rPr>
        <w:t xml:space="preserve"> </w:t>
      </w:r>
      <w:r w:rsidR="00663A93" w:rsidRPr="00663A93">
        <w:rPr>
          <w:rFonts w:ascii="Times New Roman" w:hAnsi="Times New Roman" w:cs="Times New Roman"/>
          <w:sz w:val="24"/>
          <w:szCs w:val="24"/>
        </w:rPr>
        <w:t>Η αξία της παρούσας μελέτης είναι θεωρητική, ερευνητική και πρακτική. Πιο συγκεκριμένα, τα ευρήματα της μελέτης μπορούν να αξιοποιηθούν για την ανάπτυξη πρακτικών που αφορούν τη βελτίωση των συνθηκών εργασίας, την ενίσχυση της υποστήριξης των εργαζομένων, την πρόληψη επαγγελματικής εξουθένωσης και την προαγωγή της ψυχολογικής ευημερίας στον χώρο εργασίας. Επιπλέον, μπορούν να ενισχύσουν την ανάγκη για πολιτικές που προωθούν την ισορροπία επαγγελματικής και προσωπικής ζωής, την αναγνώριση της προσφοράς των εργαζομένων και τη δημιουργία ευκαιριών επαγγελματικής εξέλιξης</w:t>
      </w:r>
      <w:r w:rsidR="00F32298">
        <w:rPr>
          <w:rFonts w:ascii="Times New Roman" w:hAnsi="Times New Roman" w:cs="Times New Roman"/>
          <w:sz w:val="24"/>
          <w:szCs w:val="24"/>
        </w:rPr>
        <w:t>.</w:t>
      </w:r>
    </w:p>
    <w:p w14:paraId="6E27429A" w14:textId="77777777" w:rsidR="000B58D8" w:rsidRDefault="000B58D8" w:rsidP="001E44A6">
      <w:pPr>
        <w:spacing w:line="240" w:lineRule="auto"/>
        <w:rPr>
          <w:rFonts w:ascii="Times New Roman" w:hAnsi="Times New Roman" w:cs="Times New Roman"/>
          <w:sz w:val="24"/>
          <w:szCs w:val="24"/>
        </w:rPr>
      </w:pPr>
    </w:p>
    <w:p w14:paraId="7333048E" w14:textId="77777777" w:rsidR="00CF431D" w:rsidRDefault="002529CC" w:rsidP="001E44A6">
      <w:pPr>
        <w:spacing w:line="240" w:lineRule="auto"/>
        <w:rPr>
          <w:rFonts w:ascii="Times New Roman" w:hAnsi="Times New Roman" w:cs="Times New Roman"/>
          <w:sz w:val="24"/>
          <w:szCs w:val="24"/>
        </w:rPr>
      </w:pPr>
      <w:r>
        <w:rPr>
          <w:rFonts w:ascii="Times New Roman" w:hAnsi="Times New Roman" w:cs="Times New Roman"/>
          <w:sz w:val="24"/>
          <w:szCs w:val="24"/>
        </w:rPr>
        <w:t xml:space="preserve">Λέξεις </w:t>
      </w:r>
      <w:proofErr w:type="spellStart"/>
      <w:r>
        <w:rPr>
          <w:rFonts w:ascii="Times New Roman" w:hAnsi="Times New Roman" w:cs="Times New Roman"/>
          <w:sz w:val="24"/>
          <w:szCs w:val="24"/>
        </w:rPr>
        <w:t>Κλειδιά:Εργασιακή</w:t>
      </w:r>
      <w:proofErr w:type="spellEnd"/>
      <w:r>
        <w:rPr>
          <w:rFonts w:ascii="Times New Roman" w:hAnsi="Times New Roman" w:cs="Times New Roman"/>
          <w:sz w:val="24"/>
          <w:szCs w:val="24"/>
        </w:rPr>
        <w:t xml:space="preserve"> ικανοποίηση, Ποιότητα ζωής, Δημόσιος τομέας, Ιδιωτικός τομέας, WHO-5, </w:t>
      </w:r>
      <w:proofErr w:type="spellStart"/>
      <w:r w:rsidRPr="002529CC">
        <w:rPr>
          <w:rFonts w:ascii="Times New Roman" w:hAnsi="Times New Roman" w:cs="Times New Roman"/>
          <w:sz w:val="24"/>
          <w:szCs w:val="24"/>
        </w:rPr>
        <w:t>Employee</w:t>
      </w:r>
      <w:proofErr w:type="spellEnd"/>
      <w:r w:rsidRPr="002529CC">
        <w:rPr>
          <w:rFonts w:ascii="Times New Roman" w:hAnsi="Times New Roman" w:cs="Times New Roman"/>
          <w:sz w:val="24"/>
          <w:szCs w:val="24"/>
        </w:rPr>
        <w:t xml:space="preserve"> </w:t>
      </w:r>
      <w:proofErr w:type="spellStart"/>
      <w:r w:rsidRPr="002529CC">
        <w:rPr>
          <w:rFonts w:ascii="Times New Roman" w:hAnsi="Times New Roman" w:cs="Times New Roman"/>
          <w:sz w:val="24"/>
          <w:szCs w:val="24"/>
        </w:rPr>
        <w:t>Satisfaction</w:t>
      </w:r>
      <w:proofErr w:type="spellEnd"/>
      <w:r w:rsidRPr="002529CC">
        <w:rPr>
          <w:rFonts w:ascii="Times New Roman" w:hAnsi="Times New Roman" w:cs="Times New Roman"/>
          <w:sz w:val="24"/>
          <w:szCs w:val="24"/>
        </w:rPr>
        <w:t xml:space="preserve"> </w:t>
      </w:r>
      <w:proofErr w:type="spellStart"/>
      <w:r w:rsidRPr="002529CC">
        <w:rPr>
          <w:rFonts w:ascii="Times New Roman" w:hAnsi="Times New Roman" w:cs="Times New Roman"/>
          <w:sz w:val="24"/>
          <w:szCs w:val="24"/>
        </w:rPr>
        <w:t>Inventory</w:t>
      </w:r>
      <w:proofErr w:type="spellEnd"/>
      <w:r w:rsidRPr="002529CC">
        <w:rPr>
          <w:rFonts w:ascii="Times New Roman" w:hAnsi="Times New Roman" w:cs="Times New Roman"/>
          <w:sz w:val="24"/>
          <w:szCs w:val="24"/>
        </w:rPr>
        <w:t xml:space="preserve"> (ESI)</w:t>
      </w:r>
    </w:p>
    <w:p w14:paraId="0742AA1C" w14:textId="77777777" w:rsidR="000B58D8" w:rsidRDefault="000B58D8" w:rsidP="001E44A6">
      <w:pPr>
        <w:spacing w:line="240" w:lineRule="auto"/>
        <w:rPr>
          <w:rFonts w:ascii="Times New Roman" w:hAnsi="Times New Roman" w:cs="Times New Roman"/>
          <w:sz w:val="24"/>
          <w:szCs w:val="24"/>
        </w:rPr>
      </w:pPr>
    </w:p>
    <w:p w14:paraId="2384A4A7" w14:textId="77777777" w:rsidR="000B58D8" w:rsidRDefault="000B58D8" w:rsidP="001E44A6">
      <w:pPr>
        <w:spacing w:line="240" w:lineRule="auto"/>
        <w:rPr>
          <w:rFonts w:ascii="Times New Roman" w:hAnsi="Times New Roman" w:cs="Times New Roman"/>
          <w:sz w:val="24"/>
          <w:szCs w:val="24"/>
        </w:rPr>
      </w:pPr>
    </w:p>
    <w:p w14:paraId="32AD6227" w14:textId="77777777" w:rsidR="000B58D8" w:rsidRDefault="000B58D8" w:rsidP="001E44A6">
      <w:pPr>
        <w:spacing w:line="240" w:lineRule="auto"/>
        <w:rPr>
          <w:rFonts w:ascii="Times New Roman" w:hAnsi="Times New Roman" w:cs="Times New Roman"/>
          <w:sz w:val="24"/>
          <w:szCs w:val="24"/>
        </w:rPr>
      </w:pPr>
    </w:p>
    <w:p w14:paraId="409B3095" w14:textId="77777777" w:rsidR="000B58D8" w:rsidRDefault="000B58D8" w:rsidP="001E44A6">
      <w:pPr>
        <w:spacing w:line="240" w:lineRule="auto"/>
        <w:rPr>
          <w:rFonts w:ascii="Times New Roman" w:hAnsi="Times New Roman" w:cs="Times New Roman"/>
          <w:sz w:val="24"/>
          <w:szCs w:val="24"/>
        </w:rPr>
      </w:pPr>
    </w:p>
    <w:p w14:paraId="1CA3A9BC" w14:textId="77777777" w:rsidR="000B58D8" w:rsidRDefault="000B58D8" w:rsidP="001E44A6">
      <w:pPr>
        <w:spacing w:line="240" w:lineRule="auto"/>
        <w:rPr>
          <w:rFonts w:ascii="Times New Roman" w:hAnsi="Times New Roman" w:cs="Times New Roman"/>
          <w:sz w:val="24"/>
          <w:szCs w:val="24"/>
        </w:rPr>
      </w:pPr>
    </w:p>
    <w:p w14:paraId="4DB35076" w14:textId="77777777" w:rsidR="000B58D8" w:rsidRDefault="000B58D8" w:rsidP="001E44A6">
      <w:pPr>
        <w:spacing w:line="240" w:lineRule="auto"/>
        <w:rPr>
          <w:rFonts w:ascii="Times New Roman" w:hAnsi="Times New Roman" w:cs="Times New Roman"/>
          <w:b/>
          <w:sz w:val="24"/>
          <w:szCs w:val="24"/>
        </w:rPr>
      </w:pPr>
      <w:r w:rsidRPr="000B58D8">
        <w:rPr>
          <w:rFonts w:ascii="Times New Roman" w:hAnsi="Times New Roman" w:cs="Times New Roman"/>
          <w:b/>
          <w:sz w:val="24"/>
          <w:szCs w:val="24"/>
        </w:rPr>
        <w:t>Βιβλιογραφικές αναφορές</w:t>
      </w:r>
    </w:p>
    <w:p w14:paraId="73229D6D" w14:textId="77777777" w:rsidR="000B58D8" w:rsidRPr="000B58D8" w:rsidRDefault="000B58D8" w:rsidP="001E44A6">
      <w:pPr>
        <w:spacing w:line="240" w:lineRule="auto"/>
        <w:rPr>
          <w:rFonts w:ascii="Times New Roman" w:hAnsi="Times New Roman" w:cs="Times New Roman"/>
          <w:sz w:val="24"/>
          <w:szCs w:val="24"/>
        </w:rPr>
      </w:pPr>
    </w:p>
    <w:p w14:paraId="11FE4148" w14:textId="77777777" w:rsidR="000B58D8" w:rsidRDefault="000B58D8" w:rsidP="001E44A6">
      <w:pPr>
        <w:spacing w:line="240" w:lineRule="auto"/>
        <w:rPr>
          <w:rFonts w:ascii="Times New Roman" w:hAnsi="Times New Roman" w:cs="Times New Roman"/>
          <w:sz w:val="24"/>
          <w:szCs w:val="24"/>
          <w:lang w:val="en-US"/>
        </w:rPr>
      </w:pPr>
      <w:proofErr w:type="spellStart"/>
      <w:r w:rsidRPr="000B58D8">
        <w:rPr>
          <w:rFonts w:ascii="Times New Roman" w:hAnsi="Times New Roman" w:cs="Times New Roman"/>
          <w:sz w:val="24"/>
          <w:szCs w:val="24"/>
          <w:lang w:val="en-US"/>
        </w:rPr>
        <w:t>Etikan</w:t>
      </w:r>
      <w:proofErr w:type="spellEnd"/>
      <w:r w:rsidRPr="00AA51C0">
        <w:rPr>
          <w:rFonts w:ascii="Times New Roman" w:hAnsi="Times New Roman" w:cs="Times New Roman"/>
          <w:sz w:val="24"/>
          <w:szCs w:val="24"/>
        </w:rPr>
        <w:t xml:space="preserve">, </w:t>
      </w:r>
      <w:r w:rsidRPr="000B58D8">
        <w:rPr>
          <w:rFonts w:ascii="Times New Roman" w:hAnsi="Times New Roman" w:cs="Times New Roman"/>
          <w:sz w:val="24"/>
          <w:szCs w:val="24"/>
          <w:lang w:val="en-US"/>
        </w:rPr>
        <w:t>I</w:t>
      </w:r>
      <w:r w:rsidRPr="00AA51C0">
        <w:rPr>
          <w:rFonts w:ascii="Times New Roman" w:hAnsi="Times New Roman" w:cs="Times New Roman"/>
          <w:sz w:val="24"/>
          <w:szCs w:val="24"/>
        </w:rPr>
        <w:t xml:space="preserve">., </w:t>
      </w:r>
      <w:r w:rsidRPr="000B58D8">
        <w:rPr>
          <w:rFonts w:ascii="Times New Roman" w:hAnsi="Times New Roman" w:cs="Times New Roman"/>
          <w:sz w:val="24"/>
          <w:szCs w:val="24"/>
          <w:lang w:val="en-US"/>
        </w:rPr>
        <w:t>Musa</w:t>
      </w:r>
      <w:r w:rsidRPr="00AA51C0">
        <w:rPr>
          <w:rFonts w:ascii="Times New Roman" w:hAnsi="Times New Roman" w:cs="Times New Roman"/>
          <w:sz w:val="24"/>
          <w:szCs w:val="24"/>
        </w:rPr>
        <w:t xml:space="preserve">, </w:t>
      </w:r>
      <w:r w:rsidRPr="000B58D8">
        <w:rPr>
          <w:rFonts w:ascii="Times New Roman" w:hAnsi="Times New Roman" w:cs="Times New Roman"/>
          <w:sz w:val="24"/>
          <w:szCs w:val="24"/>
          <w:lang w:val="en-US"/>
        </w:rPr>
        <w:t>S</w:t>
      </w:r>
      <w:r w:rsidRPr="00AA51C0">
        <w:rPr>
          <w:rFonts w:ascii="Times New Roman" w:hAnsi="Times New Roman" w:cs="Times New Roman"/>
          <w:sz w:val="24"/>
          <w:szCs w:val="24"/>
        </w:rPr>
        <w:t xml:space="preserve">. </w:t>
      </w:r>
      <w:r w:rsidRPr="000B58D8">
        <w:rPr>
          <w:rFonts w:ascii="Times New Roman" w:hAnsi="Times New Roman" w:cs="Times New Roman"/>
          <w:sz w:val="24"/>
          <w:szCs w:val="24"/>
          <w:lang w:val="en-US"/>
        </w:rPr>
        <w:t>A</w:t>
      </w:r>
      <w:r w:rsidRPr="00AA51C0">
        <w:rPr>
          <w:rFonts w:ascii="Times New Roman" w:hAnsi="Times New Roman" w:cs="Times New Roman"/>
          <w:sz w:val="24"/>
          <w:szCs w:val="24"/>
        </w:rPr>
        <w:t xml:space="preserve">., &amp; </w:t>
      </w:r>
      <w:proofErr w:type="spellStart"/>
      <w:r w:rsidRPr="000B58D8">
        <w:rPr>
          <w:rFonts w:ascii="Times New Roman" w:hAnsi="Times New Roman" w:cs="Times New Roman"/>
          <w:sz w:val="24"/>
          <w:szCs w:val="24"/>
          <w:lang w:val="en-US"/>
        </w:rPr>
        <w:t>Alkassim</w:t>
      </w:r>
      <w:proofErr w:type="spellEnd"/>
      <w:r w:rsidRPr="00AA51C0">
        <w:rPr>
          <w:rFonts w:ascii="Times New Roman" w:hAnsi="Times New Roman" w:cs="Times New Roman"/>
          <w:sz w:val="24"/>
          <w:szCs w:val="24"/>
        </w:rPr>
        <w:t xml:space="preserve">, </w:t>
      </w:r>
      <w:r w:rsidRPr="000B58D8">
        <w:rPr>
          <w:rFonts w:ascii="Times New Roman" w:hAnsi="Times New Roman" w:cs="Times New Roman"/>
          <w:sz w:val="24"/>
          <w:szCs w:val="24"/>
          <w:lang w:val="en-US"/>
        </w:rPr>
        <w:t>R</w:t>
      </w:r>
      <w:r w:rsidRPr="00AA51C0">
        <w:rPr>
          <w:rFonts w:ascii="Times New Roman" w:hAnsi="Times New Roman" w:cs="Times New Roman"/>
          <w:sz w:val="24"/>
          <w:szCs w:val="24"/>
        </w:rPr>
        <w:t xml:space="preserve">. </w:t>
      </w:r>
      <w:r w:rsidRPr="000B58D8">
        <w:rPr>
          <w:rFonts w:ascii="Times New Roman" w:hAnsi="Times New Roman" w:cs="Times New Roman"/>
          <w:sz w:val="24"/>
          <w:szCs w:val="24"/>
          <w:lang w:val="en-US"/>
        </w:rPr>
        <w:t>S</w:t>
      </w:r>
      <w:r w:rsidRPr="00AA51C0">
        <w:rPr>
          <w:rFonts w:ascii="Times New Roman" w:hAnsi="Times New Roman" w:cs="Times New Roman"/>
          <w:sz w:val="24"/>
          <w:szCs w:val="24"/>
        </w:rPr>
        <w:t xml:space="preserve">. (2016). </w:t>
      </w:r>
      <w:r w:rsidRPr="000B58D8">
        <w:rPr>
          <w:rFonts w:ascii="Times New Roman" w:hAnsi="Times New Roman" w:cs="Times New Roman"/>
          <w:sz w:val="24"/>
          <w:szCs w:val="24"/>
          <w:lang w:val="en-US"/>
        </w:rPr>
        <w:t>Comparison of con</w:t>
      </w:r>
      <w:r>
        <w:rPr>
          <w:rFonts w:ascii="Times New Roman" w:hAnsi="Times New Roman" w:cs="Times New Roman"/>
          <w:sz w:val="24"/>
          <w:szCs w:val="24"/>
          <w:lang w:val="en-US"/>
        </w:rPr>
        <w:t>venience sampling and purposive</w:t>
      </w:r>
    </w:p>
    <w:p w14:paraId="621B232C" w14:textId="77777777" w:rsidR="000B58D8" w:rsidRPr="000B58D8" w:rsidRDefault="000B58D8" w:rsidP="000B58D8">
      <w:pPr>
        <w:spacing w:line="240" w:lineRule="auto"/>
        <w:ind w:left="720"/>
        <w:rPr>
          <w:rFonts w:ascii="Times New Roman" w:hAnsi="Times New Roman" w:cs="Times New Roman"/>
          <w:sz w:val="24"/>
          <w:szCs w:val="24"/>
          <w:lang w:val="en-US"/>
        </w:rPr>
      </w:pPr>
      <w:r w:rsidRPr="000B58D8">
        <w:rPr>
          <w:rFonts w:ascii="Times New Roman" w:hAnsi="Times New Roman" w:cs="Times New Roman"/>
          <w:sz w:val="24"/>
          <w:szCs w:val="24"/>
          <w:lang w:val="en-US"/>
        </w:rPr>
        <w:t>sampling. American journal of theoretical and applied statistics, 5(1), 1-4.</w:t>
      </w:r>
    </w:p>
    <w:p w14:paraId="46213BC8" w14:textId="77777777" w:rsidR="000B58D8" w:rsidRPr="000B58D8" w:rsidRDefault="000B58D8" w:rsidP="001E44A6">
      <w:pPr>
        <w:spacing w:line="240" w:lineRule="auto"/>
        <w:rPr>
          <w:rFonts w:ascii="Times New Roman" w:hAnsi="Times New Roman" w:cs="Times New Roman"/>
          <w:sz w:val="24"/>
          <w:szCs w:val="24"/>
          <w:lang w:val="en-US"/>
        </w:rPr>
      </w:pPr>
    </w:p>
    <w:p w14:paraId="03FF379C" w14:textId="77777777" w:rsidR="000B58D8" w:rsidRDefault="000B58D8" w:rsidP="001E44A6">
      <w:pPr>
        <w:spacing w:line="240" w:lineRule="auto"/>
        <w:rPr>
          <w:rFonts w:ascii="Times New Roman" w:hAnsi="Times New Roman" w:cs="Times New Roman"/>
          <w:sz w:val="24"/>
          <w:szCs w:val="24"/>
          <w:lang w:val="en-US"/>
        </w:rPr>
      </w:pPr>
      <w:r w:rsidRPr="000B58D8">
        <w:rPr>
          <w:rFonts w:ascii="Times New Roman" w:hAnsi="Times New Roman" w:cs="Times New Roman"/>
          <w:sz w:val="24"/>
          <w:szCs w:val="24"/>
          <w:lang w:val="en-US"/>
        </w:rPr>
        <w:t>Judge, T. A., Weiss, H. M., Kammeyer-Mueller, J. D., &amp; Hulin, C. L. (2017). J</w:t>
      </w:r>
      <w:r>
        <w:rPr>
          <w:rFonts w:ascii="Times New Roman" w:hAnsi="Times New Roman" w:cs="Times New Roman"/>
          <w:sz w:val="24"/>
          <w:szCs w:val="24"/>
          <w:lang w:val="en-US"/>
        </w:rPr>
        <w:t>ob attitudes, job satisfaction,</w:t>
      </w:r>
    </w:p>
    <w:p w14:paraId="710507E0" w14:textId="77777777" w:rsidR="000B58D8" w:rsidRPr="000B58D8" w:rsidRDefault="000B58D8" w:rsidP="000B58D8">
      <w:pPr>
        <w:spacing w:line="240" w:lineRule="auto"/>
        <w:ind w:left="720"/>
        <w:rPr>
          <w:rFonts w:ascii="Times New Roman" w:hAnsi="Times New Roman" w:cs="Times New Roman"/>
          <w:sz w:val="24"/>
          <w:szCs w:val="24"/>
          <w:lang w:val="en-US"/>
        </w:rPr>
      </w:pPr>
      <w:r w:rsidRPr="000B58D8">
        <w:rPr>
          <w:rFonts w:ascii="Times New Roman" w:hAnsi="Times New Roman" w:cs="Times New Roman"/>
          <w:sz w:val="24"/>
          <w:szCs w:val="24"/>
          <w:lang w:val="en-US"/>
        </w:rPr>
        <w:t xml:space="preserve">and job </w:t>
      </w:r>
      <w:proofErr w:type="gramStart"/>
      <w:r w:rsidRPr="000B58D8">
        <w:rPr>
          <w:rFonts w:ascii="Times New Roman" w:hAnsi="Times New Roman" w:cs="Times New Roman"/>
          <w:sz w:val="24"/>
          <w:szCs w:val="24"/>
          <w:lang w:val="en-US"/>
        </w:rPr>
        <w:t>affect</w:t>
      </w:r>
      <w:proofErr w:type="gramEnd"/>
      <w:r w:rsidRPr="000B58D8">
        <w:rPr>
          <w:rFonts w:ascii="Times New Roman" w:hAnsi="Times New Roman" w:cs="Times New Roman"/>
          <w:sz w:val="24"/>
          <w:szCs w:val="24"/>
          <w:lang w:val="en-US"/>
        </w:rPr>
        <w:t>: A century of continuity and of change. Journal of applied psychology, 102(3), 356.</w:t>
      </w:r>
    </w:p>
    <w:p w14:paraId="690C2305" w14:textId="77777777" w:rsidR="000B58D8" w:rsidRPr="000B58D8" w:rsidRDefault="000B58D8" w:rsidP="001E44A6">
      <w:pPr>
        <w:spacing w:line="240" w:lineRule="auto"/>
        <w:rPr>
          <w:rFonts w:ascii="Times New Roman" w:hAnsi="Times New Roman" w:cs="Times New Roman"/>
          <w:sz w:val="24"/>
          <w:szCs w:val="24"/>
          <w:lang w:val="en-US"/>
        </w:rPr>
      </w:pPr>
    </w:p>
    <w:p w14:paraId="11A86065" w14:textId="77777777" w:rsidR="000B58D8" w:rsidRPr="00AA51C0" w:rsidRDefault="000B58D8" w:rsidP="001E44A6">
      <w:pPr>
        <w:spacing w:line="240" w:lineRule="auto"/>
        <w:rPr>
          <w:rFonts w:ascii="Times New Roman" w:hAnsi="Times New Roman" w:cs="Times New Roman"/>
          <w:sz w:val="24"/>
          <w:szCs w:val="24"/>
          <w:lang w:val="en-US"/>
        </w:rPr>
      </w:pPr>
      <w:r w:rsidRPr="000B58D8">
        <w:rPr>
          <w:rFonts w:ascii="Times New Roman" w:hAnsi="Times New Roman" w:cs="Times New Roman"/>
          <w:sz w:val="24"/>
          <w:szCs w:val="24"/>
          <w:lang w:val="en-US"/>
        </w:rPr>
        <w:t xml:space="preserve">Spector, P. E. (1997). Job satisfaction: Application, assessment, causes, and consequences. </w:t>
      </w:r>
      <w:r w:rsidRPr="00AA51C0">
        <w:rPr>
          <w:rFonts w:ascii="Times New Roman" w:hAnsi="Times New Roman" w:cs="Times New Roman"/>
          <w:sz w:val="24"/>
          <w:szCs w:val="24"/>
          <w:lang w:val="en-US"/>
        </w:rPr>
        <w:t>Sage</w:t>
      </w:r>
    </w:p>
    <w:p w14:paraId="0386B38C" w14:textId="77777777" w:rsidR="000B58D8" w:rsidRPr="00AA51C0" w:rsidRDefault="000B58D8" w:rsidP="000B58D8">
      <w:pPr>
        <w:spacing w:line="240" w:lineRule="auto"/>
        <w:ind w:left="720"/>
        <w:rPr>
          <w:rFonts w:ascii="Times New Roman" w:hAnsi="Times New Roman" w:cs="Times New Roman"/>
          <w:sz w:val="24"/>
          <w:szCs w:val="24"/>
          <w:lang w:val="en-US"/>
        </w:rPr>
      </w:pPr>
      <w:r w:rsidRPr="00AA51C0">
        <w:rPr>
          <w:rFonts w:ascii="Times New Roman" w:hAnsi="Times New Roman" w:cs="Times New Roman"/>
          <w:sz w:val="24"/>
          <w:szCs w:val="24"/>
          <w:lang w:val="en-US"/>
        </w:rPr>
        <w:t>Publications.</w:t>
      </w:r>
    </w:p>
    <w:p w14:paraId="61A2C5D1" w14:textId="77777777" w:rsidR="000B58D8" w:rsidRPr="00AA51C0" w:rsidRDefault="000B58D8" w:rsidP="001E44A6">
      <w:pPr>
        <w:spacing w:line="240" w:lineRule="auto"/>
        <w:rPr>
          <w:rFonts w:ascii="Times New Roman" w:hAnsi="Times New Roman" w:cs="Times New Roman"/>
          <w:sz w:val="24"/>
          <w:szCs w:val="24"/>
          <w:lang w:val="en-US"/>
        </w:rPr>
      </w:pPr>
    </w:p>
    <w:p w14:paraId="3C8BD976" w14:textId="77777777" w:rsidR="000B58D8" w:rsidRDefault="000B58D8" w:rsidP="001E44A6">
      <w:pPr>
        <w:spacing w:line="240" w:lineRule="auto"/>
        <w:rPr>
          <w:rFonts w:ascii="Times New Roman" w:hAnsi="Times New Roman" w:cs="Times New Roman"/>
          <w:sz w:val="24"/>
          <w:szCs w:val="24"/>
          <w:lang w:val="en-US"/>
        </w:rPr>
      </w:pPr>
      <w:proofErr w:type="spellStart"/>
      <w:r w:rsidRPr="000B58D8">
        <w:rPr>
          <w:rFonts w:ascii="Times New Roman" w:hAnsi="Times New Roman" w:cs="Times New Roman"/>
          <w:sz w:val="24"/>
          <w:szCs w:val="24"/>
          <w:lang w:val="en-US"/>
        </w:rPr>
        <w:t>Veenhoven</w:t>
      </w:r>
      <w:proofErr w:type="spellEnd"/>
      <w:r w:rsidRPr="000B58D8">
        <w:rPr>
          <w:rFonts w:ascii="Times New Roman" w:hAnsi="Times New Roman" w:cs="Times New Roman"/>
          <w:sz w:val="24"/>
          <w:szCs w:val="24"/>
          <w:lang w:val="en-US"/>
        </w:rPr>
        <w:t>, R. (2024). Quality of life (QOL), an overview. Encyclopedia of</w:t>
      </w:r>
      <w:r>
        <w:rPr>
          <w:rFonts w:ascii="Times New Roman" w:hAnsi="Times New Roman" w:cs="Times New Roman"/>
          <w:sz w:val="24"/>
          <w:szCs w:val="24"/>
          <w:lang w:val="en-US"/>
        </w:rPr>
        <w:t xml:space="preserve"> quality of life and well-being</w:t>
      </w:r>
    </w:p>
    <w:p w14:paraId="5C226B57" w14:textId="77777777" w:rsidR="000B58D8" w:rsidRPr="000B58D8" w:rsidRDefault="000B58D8" w:rsidP="000B58D8">
      <w:pPr>
        <w:spacing w:line="240" w:lineRule="auto"/>
        <w:ind w:left="720"/>
        <w:rPr>
          <w:rFonts w:ascii="Times New Roman" w:hAnsi="Times New Roman" w:cs="Times New Roman"/>
          <w:sz w:val="24"/>
          <w:szCs w:val="24"/>
          <w:lang w:val="en-US"/>
        </w:rPr>
      </w:pPr>
      <w:r w:rsidRPr="000B58D8">
        <w:rPr>
          <w:rFonts w:ascii="Times New Roman" w:hAnsi="Times New Roman" w:cs="Times New Roman"/>
          <w:sz w:val="24"/>
          <w:szCs w:val="24"/>
          <w:lang w:val="en-US"/>
        </w:rPr>
        <w:t>research, 5668-5671.</w:t>
      </w:r>
    </w:p>
    <w:p w14:paraId="2F7CE2E4" w14:textId="77777777" w:rsidR="000B58D8" w:rsidRPr="000B58D8" w:rsidRDefault="000B58D8" w:rsidP="001E44A6">
      <w:pPr>
        <w:spacing w:line="240" w:lineRule="auto"/>
        <w:rPr>
          <w:rFonts w:ascii="Times New Roman" w:hAnsi="Times New Roman" w:cs="Times New Roman"/>
          <w:sz w:val="24"/>
          <w:szCs w:val="24"/>
          <w:lang w:val="en-US"/>
        </w:rPr>
      </w:pPr>
    </w:p>
    <w:p w14:paraId="65190916" w14:textId="77777777" w:rsidR="000B58D8" w:rsidRDefault="000B58D8" w:rsidP="001E44A6">
      <w:pPr>
        <w:spacing w:line="240" w:lineRule="auto"/>
        <w:rPr>
          <w:rFonts w:ascii="Times New Roman" w:hAnsi="Times New Roman" w:cs="Times New Roman"/>
          <w:sz w:val="24"/>
          <w:szCs w:val="24"/>
          <w:lang w:val="en-US"/>
        </w:rPr>
      </w:pPr>
      <w:proofErr w:type="spellStart"/>
      <w:r w:rsidRPr="000B58D8">
        <w:rPr>
          <w:rFonts w:ascii="Times New Roman" w:hAnsi="Times New Roman" w:cs="Times New Roman"/>
          <w:sz w:val="24"/>
          <w:szCs w:val="24"/>
          <w:lang w:val="en-US"/>
        </w:rPr>
        <w:t>Whoqol</w:t>
      </w:r>
      <w:proofErr w:type="spellEnd"/>
      <w:r w:rsidRPr="000B58D8">
        <w:rPr>
          <w:rFonts w:ascii="Times New Roman" w:hAnsi="Times New Roman" w:cs="Times New Roman"/>
          <w:sz w:val="24"/>
          <w:szCs w:val="24"/>
          <w:lang w:val="en-US"/>
        </w:rPr>
        <w:t xml:space="preserve"> Group. (1995). The World Health Organization quality of life assessment (WHOQO</w:t>
      </w:r>
      <w:r>
        <w:rPr>
          <w:rFonts w:ascii="Times New Roman" w:hAnsi="Times New Roman" w:cs="Times New Roman"/>
          <w:sz w:val="24"/>
          <w:szCs w:val="24"/>
          <w:lang w:val="en-US"/>
        </w:rPr>
        <w:t>L): position</w:t>
      </w:r>
    </w:p>
    <w:p w14:paraId="0C7E7D0B" w14:textId="77777777" w:rsidR="000B58D8" w:rsidRDefault="000B58D8" w:rsidP="000B58D8">
      <w:pPr>
        <w:spacing w:line="240" w:lineRule="auto"/>
        <w:ind w:left="720"/>
        <w:rPr>
          <w:rFonts w:ascii="Times New Roman" w:hAnsi="Times New Roman" w:cs="Times New Roman"/>
          <w:sz w:val="24"/>
          <w:szCs w:val="24"/>
          <w:lang w:val="en-US"/>
        </w:rPr>
      </w:pPr>
      <w:r w:rsidRPr="000B58D8">
        <w:rPr>
          <w:rFonts w:ascii="Times New Roman" w:hAnsi="Times New Roman" w:cs="Times New Roman"/>
          <w:sz w:val="24"/>
          <w:szCs w:val="24"/>
          <w:lang w:val="en-US"/>
        </w:rPr>
        <w:t>paper from the World Health Organization. Social science &amp; medicine, 41(10), 1403-1409.</w:t>
      </w:r>
    </w:p>
    <w:p w14:paraId="6B8FBF9F" w14:textId="77777777" w:rsidR="000B58D8" w:rsidRPr="000B58D8" w:rsidRDefault="000B58D8" w:rsidP="001E44A6">
      <w:pPr>
        <w:spacing w:line="240" w:lineRule="auto"/>
        <w:rPr>
          <w:rFonts w:ascii="Times New Roman" w:hAnsi="Times New Roman" w:cs="Times New Roman"/>
          <w:sz w:val="24"/>
          <w:szCs w:val="24"/>
          <w:lang w:val="en-US"/>
        </w:rPr>
      </w:pPr>
    </w:p>
    <w:p w14:paraId="04B7328C" w14:textId="77777777" w:rsidR="000B58D8" w:rsidRDefault="000B58D8" w:rsidP="001E44A6">
      <w:pPr>
        <w:spacing w:line="240" w:lineRule="auto"/>
        <w:rPr>
          <w:rFonts w:ascii="Times New Roman" w:hAnsi="Times New Roman" w:cs="Times New Roman"/>
          <w:sz w:val="24"/>
          <w:szCs w:val="24"/>
          <w:lang w:val="en-US"/>
        </w:rPr>
      </w:pPr>
      <w:r w:rsidRPr="000B58D8">
        <w:rPr>
          <w:rFonts w:ascii="Times New Roman" w:hAnsi="Times New Roman" w:cs="Times New Roman"/>
          <w:sz w:val="24"/>
          <w:szCs w:val="24"/>
          <w:lang w:val="en-US"/>
        </w:rPr>
        <w:t xml:space="preserve">World Health Organization. (1998). Wellbeing measures in primary health care: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DepCare</w:t>
      </w:r>
      <w:proofErr w:type="spellEnd"/>
      <w:r>
        <w:rPr>
          <w:rFonts w:ascii="Times New Roman" w:hAnsi="Times New Roman" w:cs="Times New Roman"/>
          <w:sz w:val="24"/>
          <w:szCs w:val="24"/>
          <w:lang w:val="en-US"/>
        </w:rPr>
        <w:t xml:space="preserve"> Project –</w:t>
      </w:r>
    </w:p>
    <w:p w14:paraId="031ADB09" w14:textId="77777777" w:rsidR="000B58D8" w:rsidRPr="000B58D8" w:rsidRDefault="000B58D8" w:rsidP="000B58D8">
      <w:pPr>
        <w:spacing w:line="240" w:lineRule="auto"/>
        <w:ind w:left="720"/>
        <w:rPr>
          <w:rFonts w:ascii="Times New Roman" w:hAnsi="Times New Roman" w:cs="Times New Roman"/>
          <w:sz w:val="24"/>
          <w:szCs w:val="24"/>
          <w:lang w:val="en-US"/>
        </w:rPr>
      </w:pPr>
      <w:r w:rsidRPr="000B58D8">
        <w:rPr>
          <w:rFonts w:ascii="Times New Roman" w:hAnsi="Times New Roman" w:cs="Times New Roman"/>
          <w:sz w:val="24"/>
          <w:szCs w:val="24"/>
          <w:lang w:val="en-US"/>
        </w:rPr>
        <w:t>WHO-5 Well-Being Index.</w:t>
      </w:r>
    </w:p>
    <w:p w14:paraId="3851A842" w14:textId="77777777" w:rsidR="000B58D8" w:rsidRDefault="000B58D8" w:rsidP="001E44A6">
      <w:pPr>
        <w:spacing w:line="240" w:lineRule="auto"/>
        <w:rPr>
          <w:rFonts w:ascii="Times New Roman" w:hAnsi="Times New Roman" w:cs="Times New Roman"/>
          <w:sz w:val="24"/>
          <w:szCs w:val="24"/>
          <w:lang w:val="en-US"/>
        </w:rPr>
      </w:pPr>
    </w:p>
    <w:p w14:paraId="2FB0CA77" w14:textId="77777777" w:rsidR="000B58D8" w:rsidRPr="000B58D8" w:rsidRDefault="000B58D8" w:rsidP="001E44A6">
      <w:pPr>
        <w:spacing w:line="240" w:lineRule="auto"/>
        <w:rPr>
          <w:rFonts w:ascii="Times New Roman" w:hAnsi="Times New Roman" w:cs="Times New Roman"/>
          <w:sz w:val="24"/>
          <w:szCs w:val="24"/>
          <w:lang w:val="en-US"/>
        </w:rPr>
      </w:pPr>
      <w:proofErr w:type="spellStart"/>
      <w:r w:rsidRPr="000B58D8">
        <w:rPr>
          <w:rFonts w:ascii="Times New Roman" w:hAnsi="Times New Roman" w:cs="Times New Roman"/>
          <w:sz w:val="24"/>
          <w:szCs w:val="24"/>
          <w:lang w:val="en-US"/>
        </w:rPr>
        <w:t>Κουτσέλιος</w:t>
      </w:r>
      <w:proofErr w:type="spellEnd"/>
      <w:r w:rsidRPr="000B58D8">
        <w:rPr>
          <w:rFonts w:ascii="Times New Roman" w:hAnsi="Times New Roman" w:cs="Times New Roman"/>
          <w:sz w:val="24"/>
          <w:szCs w:val="24"/>
          <w:lang w:val="en-US"/>
        </w:rPr>
        <w:t>, Α., &amp; Μπα</w:t>
      </w:r>
      <w:proofErr w:type="spellStart"/>
      <w:r w:rsidRPr="000B58D8">
        <w:rPr>
          <w:rFonts w:ascii="Times New Roman" w:hAnsi="Times New Roman" w:cs="Times New Roman"/>
          <w:sz w:val="24"/>
          <w:szCs w:val="24"/>
          <w:lang w:val="en-US"/>
        </w:rPr>
        <w:t>γιάτης</w:t>
      </w:r>
      <w:proofErr w:type="spellEnd"/>
      <w:r w:rsidRPr="000B58D8">
        <w:rPr>
          <w:rFonts w:ascii="Times New Roman" w:hAnsi="Times New Roman" w:cs="Times New Roman"/>
          <w:sz w:val="24"/>
          <w:szCs w:val="24"/>
          <w:lang w:val="en-US"/>
        </w:rPr>
        <w:t>, Κ. (1997). Employee Satisfaction Inventory (ESI).</w:t>
      </w:r>
    </w:p>
    <w:sectPr w:rsidR="000B58D8" w:rsidRPr="000B58D8" w:rsidSect="001E44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911"/>
    <w:rsid w:val="00001DC1"/>
    <w:rsid w:val="000B58D8"/>
    <w:rsid w:val="001E44A6"/>
    <w:rsid w:val="002529CC"/>
    <w:rsid w:val="00466A9B"/>
    <w:rsid w:val="004D31C6"/>
    <w:rsid w:val="005E47D5"/>
    <w:rsid w:val="00663A93"/>
    <w:rsid w:val="008A3E8C"/>
    <w:rsid w:val="00936255"/>
    <w:rsid w:val="00990223"/>
    <w:rsid w:val="00AA51C0"/>
    <w:rsid w:val="00B57C7B"/>
    <w:rsid w:val="00C27911"/>
    <w:rsid w:val="00CB4351"/>
    <w:rsid w:val="00CF431D"/>
    <w:rsid w:val="00DD1C3C"/>
    <w:rsid w:val="00EE31BF"/>
    <w:rsid w:val="00F32298"/>
    <w:rsid w:val="00F34F2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53C73"/>
  <w15:chartTrackingRefBased/>
  <w15:docId w15:val="{E7BA2D20-22F2-4EA7-8391-EFCE1CF4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B435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711</Words>
  <Characters>3842</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tolis agelopoulos</dc:creator>
  <cp:keywords/>
  <dc:description/>
  <cp:lastModifiedBy>GLIKERIA TSENTIDOU</cp:lastModifiedBy>
  <cp:revision>15</cp:revision>
  <dcterms:created xsi:type="dcterms:W3CDTF">2026-03-26T18:26:00Z</dcterms:created>
  <dcterms:modified xsi:type="dcterms:W3CDTF">2026-07-15T14:32:00Z</dcterms:modified>
</cp:coreProperties>
</file>